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гражданского служащего,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ЗАЯВ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7"/>
                <w:highlight w:val="white"/>
              </w:rPr>
              <w:t xml:space="preserve">разрешении участвовать на безвозмездной основе </w:t>
              <w:br/>
              <w:t xml:space="preserve">в управлении некоммерческой организацией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482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7"/>
                <w:highlight w:val="white"/>
              </w:rPr>
              <w:t xml:space="preserve">В соответствии с подпунктом «б» пункта 3 части 1 статьи 17 Федерального закона </w:t>
            </w:r>
            <w:r>
              <w:rPr>
                <w:rFonts w:ascii="Times New Roman" w:hAnsi="Times New Roman" w:eastAsia="Times New Roman" w:cs="Times New Roman"/>
                <w:sz w:val="27"/>
                <w:highlight w:val="white"/>
              </w:rPr>
              <w:t xml:space="preserve">от 27 июля 2004  г. № 79-ФЗ</w:t>
            </w:r>
            <w:r>
              <w:rPr>
                <w:rFonts w:ascii="Times New Roman" w:hAnsi="Times New Roman" w:eastAsia="Times New Roman" w:cs="Times New Roman"/>
                <w:color w:val="333333"/>
                <w:sz w:val="27"/>
                <w:highlight w:val="white"/>
              </w:rPr>
              <w:t xml:space="preserve"> «О государственной гражданской службе Российской Федерации» прошу разрешить мне участвовать на безвозмездной основе в управлении некоммерческой организацией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sz w:val="2"/>
                <w:szCs w:val="2"/>
              </w:rPr>
            </w:r>
            <w:r>
              <w:rPr>
                <w:color w:val="000000" w:themeColor="text1"/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(организационно-правовая форма,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none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</w:r>
            <w:r/>
            <w:r>
              <w:rPr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  <w:t xml:space="preserve">полное наименование, адрес, 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  <w:t xml:space="preserve">виды деятельности некоммерческой организации, </w:t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  <w:r>
              <w:rPr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форма участия в управлении некоммерческой организацией)</w:t>
            </w:r>
            <w:r>
              <w:rPr>
                <w:sz w:val="16"/>
                <w:szCs w:val="16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21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highlight w:val="white"/>
              </w:rPr>
              <w:t xml:space="preserve"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199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(мнение заместителя руководителя Федеральной пробирной палаты, курирующего деятельность </w:t>
            </w:r>
            <w:r>
              <w:rPr>
                <w:color w:val="000000" w:themeColor="text1"/>
                <w:sz w:val="16"/>
                <w:szCs w:val="16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соответствующего структурного 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подразделения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центрального аппарата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начальника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структурного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подразделения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центрального аппарата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котором гражданский служащий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проходит государственную службу;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начальника структурного подразделения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территориального органа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в котором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гражданский служащий проходит государственную службу;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заместителя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руководителя территориального органа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 курирующего деятельность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соответствующего гражданского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служащего территориального органа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о наличии возможности возникновения конфликта интересов в случае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участия гражданского служащего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7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(территориального органа) на безвозмездной основе в управлении некоммерческой организацией)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  <w14:ligatures w14:val="none"/>
              </w:rPr>
            </w:r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992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42</cp:revision>
  <dcterms:created xsi:type="dcterms:W3CDTF">2023-04-17T13:17:00Z</dcterms:created>
  <dcterms:modified xsi:type="dcterms:W3CDTF">2023-10-26T07:06:53Z</dcterms:modified>
</cp:coreProperties>
</file>